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5E" w:rsidRPr="00B30E47" w:rsidRDefault="000A325E" w:rsidP="004B4B8E">
      <w:pPr>
        <w:rPr>
          <w:rFonts w:ascii="Arial" w:hAnsi="Arial" w:cs="Arial"/>
          <w:sz w:val="21"/>
          <w:szCs w:val="21"/>
        </w:rPr>
      </w:pPr>
    </w:p>
    <w:p w:rsidR="000A325E" w:rsidRDefault="000A325E" w:rsidP="004B4B8E">
      <w:pPr>
        <w:jc w:val="both"/>
        <w:rPr>
          <w:rFonts w:ascii="Arial" w:hAnsi="Arial" w:cs="Arial"/>
          <w:sz w:val="21"/>
          <w:szCs w:val="21"/>
        </w:rPr>
      </w:pPr>
    </w:p>
    <w:p w:rsidR="00C702A2" w:rsidRPr="00874137" w:rsidRDefault="00C702A2" w:rsidP="004B4B8E">
      <w:pPr>
        <w:jc w:val="right"/>
        <w:rPr>
          <w:rFonts w:ascii="Arial" w:hAnsi="Arial" w:cs="Arial"/>
          <w:sz w:val="17"/>
          <w:szCs w:val="21"/>
        </w:rPr>
      </w:pPr>
      <w:r w:rsidRPr="00874137">
        <w:rPr>
          <w:rFonts w:ascii="Arial" w:hAnsi="Arial" w:cs="Arial"/>
          <w:sz w:val="17"/>
          <w:szCs w:val="21"/>
        </w:rPr>
        <w:t xml:space="preserve">Załącznik nr </w:t>
      </w:r>
      <w:r w:rsidR="004C7C9B">
        <w:rPr>
          <w:rFonts w:ascii="Arial" w:hAnsi="Arial" w:cs="Arial"/>
          <w:sz w:val="17"/>
          <w:szCs w:val="21"/>
        </w:rPr>
        <w:t>14</w:t>
      </w:r>
      <w:r w:rsidRPr="00874137">
        <w:rPr>
          <w:rFonts w:ascii="Arial" w:hAnsi="Arial" w:cs="Arial"/>
          <w:sz w:val="17"/>
          <w:szCs w:val="21"/>
        </w:rPr>
        <w:t xml:space="preserve"> do Regulaminu </w:t>
      </w:r>
    </w:p>
    <w:p w:rsidR="00C702A2" w:rsidRPr="00874137" w:rsidRDefault="00334BE1" w:rsidP="004B4B8E">
      <w:pPr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7"/>
          <w:szCs w:val="21"/>
        </w:rPr>
        <w:t>konkursu nr RPWM.01.0</w:t>
      </w:r>
      <w:r w:rsidR="00767237">
        <w:rPr>
          <w:rFonts w:ascii="Arial" w:hAnsi="Arial" w:cs="Arial"/>
          <w:sz w:val="17"/>
          <w:szCs w:val="21"/>
        </w:rPr>
        <w:t>4</w:t>
      </w:r>
      <w:r w:rsidR="00C702A2" w:rsidRPr="00874137">
        <w:rPr>
          <w:rFonts w:ascii="Arial" w:hAnsi="Arial" w:cs="Arial"/>
          <w:sz w:val="17"/>
          <w:szCs w:val="21"/>
        </w:rPr>
        <w:t>.0</w:t>
      </w:r>
      <w:r w:rsidR="00F66738">
        <w:rPr>
          <w:rFonts w:ascii="Arial" w:hAnsi="Arial" w:cs="Arial"/>
          <w:sz w:val="17"/>
          <w:szCs w:val="21"/>
        </w:rPr>
        <w:t>2</w:t>
      </w:r>
      <w:r w:rsidR="00C702A2" w:rsidRPr="00874137">
        <w:rPr>
          <w:rFonts w:ascii="Arial" w:hAnsi="Arial" w:cs="Arial"/>
          <w:sz w:val="17"/>
          <w:szCs w:val="21"/>
        </w:rPr>
        <w:t>-IP.</w:t>
      </w:r>
      <w:r w:rsidR="00C702A2" w:rsidRPr="0004392B">
        <w:rPr>
          <w:rFonts w:ascii="Arial" w:hAnsi="Arial" w:cs="Arial"/>
          <w:sz w:val="17"/>
          <w:szCs w:val="21"/>
          <w:highlight w:val="cyan"/>
        </w:rPr>
        <w:t>0</w:t>
      </w:r>
      <w:r w:rsidR="00F179BE">
        <w:rPr>
          <w:rFonts w:ascii="Arial" w:hAnsi="Arial" w:cs="Arial"/>
          <w:sz w:val="17"/>
          <w:szCs w:val="21"/>
          <w:highlight w:val="cyan"/>
        </w:rPr>
        <w:t>3</w:t>
      </w:r>
      <w:r w:rsidR="00C702A2" w:rsidRPr="00874137">
        <w:rPr>
          <w:rFonts w:ascii="Arial" w:hAnsi="Arial" w:cs="Arial"/>
          <w:sz w:val="17"/>
          <w:szCs w:val="21"/>
        </w:rPr>
        <w:t xml:space="preserve">-28-001/16 (…) </w:t>
      </w:r>
    </w:p>
    <w:p w:rsidR="00665923" w:rsidRDefault="00BC0FFA" w:rsidP="0066592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665923">
        <w:rPr>
          <w:rFonts w:ascii="Arial" w:hAnsi="Arial" w:cs="Arial"/>
          <w:sz w:val="18"/>
          <w:szCs w:val="18"/>
        </w:rPr>
        <w:t xml:space="preserve"> 28.06.2016 r.</w:t>
      </w:r>
    </w:p>
    <w:p w:rsidR="000A325E" w:rsidRDefault="000A325E" w:rsidP="004B4B8E">
      <w:pPr>
        <w:jc w:val="right"/>
        <w:rPr>
          <w:rFonts w:ascii="Arial" w:hAnsi="Arial" w:cs="Arial"/>
          <w:sz w:val="17"/>
          <w:szCs w:val="21"/>
        </w:rPr>
      </w:pPr>
    </w:p>
    <w:p w:rsidR="00874137" w:rsidRDefault="00874137" w:rsidP="004B4B8E">
      <w:pPr>
        <w:jc w:val="right"/>
        <w:rPr>
          <w:rFonts w:ascii="Arial" w:hAnsi="Arial" w:cs="Arial"/>
          <w:sz w:val="21"/>
          <w:szCs w:val="21"/>
        </w:rPr>
      </w:pPr>
    </w:p>
    <w:p w:rsidR="00C702A2" w:rsidRPr="00771953" w:rsidRDefault="004C7C9B" w:rsidP="004B4B8E">
      <w:pPr>
        <w:jc w:val="both"/>
        <w:rPr>
          <w:rFonts w:ascii="Arial" w:hAnsi="Arial" w:cs="Arial"/>
          <w:b/>
        </w:rPr>
      </w:pPr>
      <w:r w:rsidRPr="00771953">
        <w:rPr>
          <w:rFonts w:ascii="Arial" w:hAnsi="Arial" w:cs="Arial"/>
          <w:b/>
        </w:rPr>
        <w:t xml:space="preserve">Karta  z  definicjami  kryteriów  merytorycznych  punktowych  i  premiujących  wyboru  projektów </w:t>
      </w:r>
      <w:r w:rsidR="00AC30F7" w:rsidRPr="00771953">
        <w:rPr>
          <w:rFonts w:ascii="Arial" w:hAnsi="Arial" w:cs="Arial"/>
          <w:b/>
        </w:rPr>
        <w:t>w  ramach</w:t>
      </w:r>
      <w:r w:rsidR="00475EF1" w:rsidRPr="00771953">
        <w:rPr>
          <w:rFonts w:ascii="Arial" w:hAnsi="Arial" w:cs="Arial"/>
          <w:b/>
        </w:rPr>
        <w:t xml:space="preserve">  Działania  </w:t>
      </w:r>
      <w:r w:rsidR="00767237" w:rsidRPr="00771953">
        <w:rPr>
          <w:rFonts w:ascii="Arial" w:hAnsi="Arial" w:cs="Arial"/>
          <w:b/>
        </w:rPr>
        <w:t>1.4  Nowe modele biznesowe i ekspansja Poddziałania 1.4.2 Pakietowanie produktów i usług (typ 2)</w:t>
      </w:r>
      <w:r w:rsidR="00874137" w:rsidRPr="00771953">
        <w:rPr>
          <w:rFonts w:ascii="Arial" w:hAnsi="Arial" w:cs="Arial"/>
          <w:b/>
        </w:rPr>
        <w:t xml:space="preserve"> </w:t>
      </w:r>
      <w:r w:rsidR="00C702A2" w:rsidRPr="00771953">
        <w:rPr>
          <w:rFonts w:ascii="Arial" w:hAnsi="Arial" w:cs="Arial"/>
          <w:b/>
        </w:rPr>
        <w:t>Regionalnego Programu Operacyjnego Województwa Warmińsko-Mazurskiego na lata 2014-2020</w:t>
      </w:r>
    </w:p>
    <w:p w:rsidR="00AC30F7" w:rsidRDefault="00AC30F7" w:rsidP="004B4B8E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4962"/>
        <w:gridCol w:w="5244"/>
      </w:tblGrid>
      <w:tr w:rsidR="00AC30F7" w:rsidRPr="004B4B8E" w:rsidTr="006969F7">
        <w:tc>
          <w:tcPr>
            <w:tcW w:w="14850" w:type="dxa"/>
            <w:gridSpan w:val="4"/>
            <w:shd w:val="pct15" w:color="auto" w:fill="auto"/>
            <w:vAlign w:val="center"/>
          </w:tcPr>
          <w:p w:rsidR="00FE682F" w:rsidRPr="004B4B8E" w:rsidRDefault="00FE682F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FE682F" w:rsidRPr="004B4B8E" w:rsidRDefault="004C7C9B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 xml:space="preserve">KRYTERIA MERYTORYCZNE PUNKTOWE </w:t>
            </w:r>
          </w:p>
          <w:p w:rsidR="004C7C9B" w:rsidRPr="004B4B8E" w:rsidRDefault="004C7C9B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C30F7" w:rsidRPr="004B4B8E" w:rsidTr="00142E0E">
        <w:tc>
          <w:tcPr>
            <w:tcW w:w="675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Nazwa kryterium</w:t>
            </w:r>
          </w:p>
        </w:tc>
        <w:tc>
          <w:tcPr>
            <w:tcW w:w="4962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Definicja kryterium</w:t>
            </w:r>
          </w:p>
        </w:tc>
        <w:tc>
          <w:tcPr>
            <w:tcW w:w="5244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 xml:space="preserve">Opis </w:t>
            </w:r>
            <w:r w:rsidR="00771953">
              <w:rPr>
                <w:rFonts w:ascii="Arial" w:hAnsi="Arial" w:cs="Arial"/>
                <w:b/>
                <w:sz w:val="21"/>
                <w:szCs w:val="21"/>
              </w:rPr>
              <w:t xml:space="preserve">znaczenia </w:t>
            </w:r>
            <w:r w:rsidRPr="004B4B8E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</w:tr>
      <w:tr w:rsidR="00F829ED" w:rsidRPr="004B4B8E" w:rsidTr="00142E0E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ind w:left="3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4B4B8E">
              <w:rPr>
                <w:rFonts w:ascii="Arial" w:hAnsi="Arial" w:cs="Arial"/>
                <w:i/>
                <w:sz w:val="21"/>
                <w:szCs w:val="21"/>
              </w:rPr>
              <w:t>w Strategii rozwoju społeczno-gospodarczego województwa warmińsko-mazurskiego do roku 2025</w:t>
            </w:r>
            <w:r w:rsidRPr="004B4B8E">
              <w:rPr>
                <w:rFonts w:ascii="Arial" w:hAnsi="Arial" w:cs="Arial"/>
                <w:sz w:val="21"/>
                <w:szCs w:val="21"/>
              </w:rPr>
              <w:t>. Wpływ na rozwój inteligentnych specjalizacji rozumiany jest jako:</w:t>
            </w:r>
          </w:p>
          <w:p w:rsidR="00F829ED" w:rsidRPr="004B4B8E" w:rsidRDefault="00F829ED" w:rsidP="004B4B8E">
            <w:pPr>
              <w:numPr>
                <w:ilvl w:val="0"/>
                <w:numId w:val="7"/>
              </w:numPr>
              <w:suppressAutoHyphens/>
              <w:ind w:left="317" w:hanging="284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F829ED" w:rsidRPr="004B4B8E" w:rsidRDefault="00F829ED" w:rsidP="004B4B8E">
            <w:pPr>
              <w:numPr>
                <w:ilvl w:val="0"/>
                <w:numId w:val="7"/>
              </w:numPr>
              <w:suppressAutoHyphens/>
              <w:ind w:left="317" w:hanging="284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wpływ na wzmocnienie silnych stron i/lub eliminację słabych stron zdiagnozowanych w analizie SWOT dla danej inteligentnej specjalizacji </w:t>
            </w:r>
            <w:r w:rsidRPr="004B4B8E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:rsidR="00F829ED" w:rsidRPr="004B4B8E" w:rsidRDefault="00F829ED" w:rsidP="004B4B8E">
            <w:pPr>
              <w:numPr>
                <w:ilvl w:val="0"/>
                <w:numId w:val="7"/>
              </w:numPr>
              <w:suppressAutoHyphens/>
              <w:ind w:left="317" w:hanging="284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dyfuzję wyników projektu  na więcej niż jeden podmiot działający w obszarze danej inteligentnej specjalizacji – 1 pkt</w:t>
            </w:r>
          </w:p>
          <w:p w:rsidR="00F829ED" w:rsidRPr="004B4B8E" w:rsidRDefault="00F829ED" w:rsidP="004B4B8E">
            <w:pPr>
              <w:numPr>
                <w:ilvl w:val="0"/>
                <w:numId w:val="7"/>
              </w:numPr>
              <w:suppressAutoHyphens/>
              <w:ind w:left="317" w:hanging="284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stworzenie w wyniku projektu możliwości eksportowych w ramach danej specjalizacji i/lub generowanie potencjalnego wzrostu współpracy w europejskich łańcuchach wartości</w:t>
            </w:r>
            <w:r w:rsidRPr="004B4B8E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2"/>
            </w:r>
            <w:r w:rsidRPr="004B4B8E">
              <w:rPr>
                <w:rFonts w:ascii="Arial" w:hAnsi="Arial" w:cs="Arial"/>
                <w:sz w:val="21"/>
                <w:szCs w:val="21"/>
              </w:rPr>
              <w:t xml:space="preserve"> - 1 pkt</w:t>
            </w:r>
          </w:p>
          <w:p w:rsidR="00F829ED" w:rsidRPr="004B4B8E" w:rsidRDefault="00F829ED" w:rsidP="004B4B8E">
            <w:pPr>
              <w:numPr>
                <w:ilvl w:val="0"/>
                <w:numId w:val="7"/>
              </w:numPr>
              <w:suppressAutoHyphens/>
              <w:ind w:left="317" w:hanging="284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wpływ na kreowanie współpracy pomiędzy środowiskiem naukowym, biznesowym, otoczeniem biznesu, administracją w obrębie co najmniej jednej specjalizacji  w wyniku realizacji projektu – 1 pkt</w:t>
            </w:r>
          </w:p>
          <w:p w:rsidR="00F829ED" w:rsidRPr="004B4B8E" w:rsidRDefault="00F829ED" w:rsidP="004B4B8E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Punkty sumują się. 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</w:p>
          <w:p w:rsidR="00F829ED" w:rsidRPr="004B4B8E" w:rsidRDefault="00F829ED" w:rsidP="004B4B8E">
            <w:pPr>
              <w:keepNext/>
              <w:autoSpaceDE w:val="0"/>
              <w:autoSpaceDN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–przyznanie 0 punktów nie dyskwalifikuje z możliwości uzyskania dofinansowania. Projekt może otrzymać od 0 do 5 punktów (maksymalnie).</w:t>
            </w:r>
          </w:p>
          <w:p w:rsidR="00F829ED" w:rsidRPr="004B4B8E" w:rsidRDefault="00F829ED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829ED" w:rsidRPr="004B4B8E" w:rsidTr="00142E0E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Wpływ działań zaplanowanych w projekcie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Działania zaplanowane w projekcie przyczynią się do. </w:t>
            </w:r>
          </w:p>
          <w:p w:rsidR="00F829ED" w:rsidRPr="004B4B8E" w:rsidRDefault="00F829ED" w:rsidP="004B4B8E">
            <w:pPr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dostosowania do zmian preferencji konsumenckich – 2 pkt  </w:t>
            </w:r>
          </w:p>
          <w:p w:rsidR="00F829ED" w:rsidRPr="004B4B8E" w:rsidRDefault="00F829ED" w:rsidP="004B4B8E">
            <w:pPr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zmniejszenia sezonowości sprzedaży – 3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142E0E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Poziom wkładu własnego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Ocenie podlega zadeklarowany przez Wnioskodawcę poziom wkładu własnego wg następującej punktacji</w:t>
            </w:r>
          </w:p>
          <w:p w:rsidR="00F829ED" w:rsidRPr="004B4B8E" w:rsidRDefault="00F829ED" w:rsidP="004B4B8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50% – 0 pkt</w:t>
            </w:r>
          </w:p>
          <w:p w:rsidR="00F829ED" w:rsidRPr="004B4B8E" w:rsidRDefault="00F829ED" w:rsidP="004B4B8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pow. 50-52% – 2 pkt</w:t>
            </w:r>
          </w:p>
          <w:p w:rsidR="00F829ED" w:rsidRPr="004B4B8E" w:rsidRDefault="00F829ED" w:rsidP="004B4B8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pow. 52-54% – 3 pkt</w:t>
            </w:r>
          </w:p>
          <w:p w:rsidR="00F829ED" w:rsidRPr="004B4B8E" w:rsidRDefault="00F829ED" w:rsidP="004B4B8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pow. 54% – 4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4 punktów (maksymalnie).</w:t>
            </w:r>
          </w:p>
        </w:tc>
      </w:tr>
      <w:tr w:rsidR="00F829ED" w:rsidRPr="004B4B8E" w:rsidTr="00142E0E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Liczba produktów / usług w pakiecie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ind w:left="3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Ocenie podlega zadeklarowana przez Wnioskodawcę liczba produktów/ usług znajdujących się w planowanym do utworzenia pakiecie. Punktacja będzie przyznawana następująco:</w:t>
            </w:r>
          </w:p>
          <w:p w:rsidR="00F829ED" w:rsidRPr="004B4B8E" w:rsidRDefault="00F829ED" w:rsidP="004B4B8E">
            <w:pPr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3 – 0 pkt</w:t>
            </w:r>
          </w:p>
          <w:p w:rsidR="00F829ED" w:rsidRPr="004B4B8E" w:rsidRDefault="00F829ED" w:rsidP="004B4B8E">
            <w:pPr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4 – 1 pkt</w:t>
            </w:r>
          </w:p>
          <w:p w:rsidR="00F829ED" w:rsidRPr="004B4B8E" w:rsidRDefault="00F829ED" w:rsidP="004B4B8E">
            <w:pPr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5 – 2 pkt </w:t>
            </w:r>
          </w:p>
          <w:p w:rsidR="00F829ED" w:rsidRPr="004B4B8E" w:rsidRDefault="00F829ED" w:rsidP="004B4B8E">
            <w:pPr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6 – 3 pkt</w:t>
            </w:r>
          </w:p>
          <w:p w:rsidR="00F829ED" w:rsidRPr="004B4B8E" w:rsidRDefault="00F829ED" w:rsidP="004B4B8E">
            <w:pPr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7 – 4 pkt</w:t>
            </w:r>
          </w:p>
          <w:p w:rsidR="00F829ED" w:rsidRPr="004B4B8E" w:rsidRDefault="00F829ED" w:rsidP="004B4B8E">
            <w:pPr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Pow. 7 – 5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142E0E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5.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Liczba przedsiębiorstw, których oferta zostanie włączona do pakietu 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ind w:left="3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Ocenie podlega zadeklarowana przez Wnioskodawcę liczba przedsiębiorstw, których oferta znajdzie się w planowanym do utworzenia pakiecie. Punktacja będzie przyznawana następująco:</w:t>
            </w:r>
          </w:p>
          <w:p w:rsidR="00F829ED" w:rsidRPr="004B4B8E" w:rsidRDefault="00F829ED" w:rsidP="004B4B8E">
            <w:pPr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2 – 0   pkt</w:t>
            </w:r>
          </w:p>
          <w:p w:rsidR="00F829ED" w:rsidRPr="004B4B8E" w:rsidRDefault="00F829ED" w:rsidP="004B4B8E">
            <w:pPr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3 – 2 pkt </w:t>
            </w:r>
          </w:p>
          <w:p w:rsidR="00F829ED" w:rsidRPr="004B4B8E" w:rsidRDefault="00F829ED" w:rsidP="004B4B8E">
            <w:pPr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4 – 3 pkt</w:t>
            </w:r>
          </w:p>
          <w:p w:rsidR="00F829ED" w:rsidRPr="004B4B8E" w:rsidRDefault="00F829ED" w:rsidP="004B4B8E">
            <w:pPr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5 – 4 pkt</w:t>
            </w:r>
          </w:p>
          <w:p w:rsidR="00F829ED" w:rsidRPr="004B4B8E" w:rsidRDefault="00F829ED" w:rsidP="004B4B8E">
            <w:pPr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Pow. 5 – 5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Wzrost zatrudnienia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4B4B8E">
              <w:rPr>
                <w:rFonts w:ascii="Arial" w:hAnsi="Arial" w:cs="Arial"/>
                <w:sz w:val="21"/>
                <w:szCs w:val="21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F829ED" w:rsidRPr="004B4B8E" w:rsidRDefault="00F829ED" w:rsidP="004B4B8E">
            <w:pPr>
              <w:numPr>
                <w:ilvl w:val="0"/>
                <w:numId w:val="12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osób zatrudnionych na podstawie umowy o dzieło lub umowy zlecenia,</w:t>
            </w:r>
          </w:p>
          <w:p w:rsidR="00F829ED" w:rsidRPr="004B4B8E" w:rsidRDefault="00F829ED" w:rsidP="004B4B8E">
            <w:pPr>
              <w:numPr>
                <w:ilvl w:val="0"/>
                <w:numId w:val="12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osób wykonujących pracę nakładczą,</w:t>
            </w:r>
          </w:p>
          <w:p w:rsidR="00F829ED" w:rsidRPr="004B4B8E" w:rsidRDefault="00F829ED" w:rsidP="004B4B8E">
            <w:pPr>
              <w:numPr>
                <w:ilvl w:val="0"/>
                <w:numId w:val="12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uczniów, którzy zawarli z firmą umowę o naukę zawodu lub przyuczenie do wykonywania pracy,</w:t>
            </w:r>
          </w:p>
          <w:p w:rsidR="00F829ED" w:rsidRPr="004B4B8E" w:rsidRDefault="00F829ED" w:rsidP="004B4B8E">
            <w:pPr>
              <w:numPr>
                <w:ilvl w:val="0"/>
                <w:numId w:val="12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osób korzystających w trakcie ostatnich 12 miesięcy z bezpłatnych urlopów wychowawczych w wymiarze powyżej 3 miesięcy.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numPr>
                <w:ilvl w:val="0"/>
                <w:numId w:val="13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do 1 etatu</w:t>
            </w:r>
            <w:r w:rsidRPr="004B4B8E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0 pkt</w:t>
            </w:r>
          </w:p>
          <w:p w:rsidR="00F829ED" w:rsidRPr="004B4B8E" w:rsidRDefault="00F829ED" w:rsidP="004B4B8E">
            <w:pPr>
              <w:numPr>
                <w:ilvl w:val="0"/>
                <w:numId w:val="13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pow. 1 do 4 etatów</w:t>
            </w:r>
            <w:r w:rsidRPr="004B4B8E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4 pkt</w:t>
            </w:r>
          </w:p>
          <w:p w:rsidR="00F829ED" w:rsidRPr="004B4B8E" w:rsidRDefault="00F829ED" w:rsidP="004B4B8E">
            <w:pPr>
              <w:numPr>
                <w:ilvl w:val="0"/>
                <w:numId w:val="13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pow. 4 do 6 etatów</w:t>
            </w:r>
            <w:r w:rsidRPr="004B4B8E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5 pkt</w:t>
            </w:r>
          </w:p>
          <w:p w:rsidR="00F829ED" w:rsidRPr="004B4B8E" w:rsidRDefault="00F829ED" w:rsidP="004B4B8E">
            <w:pPr>
              <w:numPr>
                <w:ilvl w:val="0"/>
                <w:numId w:val="13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pow. 6 etatów</w:t>
            </w:r>
            <w:r w:rsidRPr="004B4B8E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6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6 punktów (maksymalnie).</w:t>
            </w: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7.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Internacjonalizacja oferty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Ocenie podlega liczba języków, w których oferta będzie dostępna (przy czym musi ona wynikać z analizy popytu). Punkty nie zostaną przyznane, jeżeli oferta zostanie przetłumaczona na dany język obcy, a z analizy popytu nie będzie wynikało, że chociaż jeden klient będzie pochodził z kraju, w którym językiem urzędowym jest dany język.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oferta dostępna w języku polskim – 0 pkt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oferta dostępna w jednym języku obcym – 3 pkt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oferta dostępna w dwóch językach obcych – 4 pkt</w:t>
            </w:r>
          </w:p>
          <w:p w:rsidR="00F829ED" w:rsidRPr="004B4B8E" w:rsidRDefault="00F829ED" w:rsidP="004B4B8E">
            <w:pPr>
              <w:numPr>
                <w:ilvl w:val="0"/>
                <w:numId w:val="14"/>
              </w:numPr>
              <w:ind w:left="317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oferta dostępna w trzech językach obcych i więcej – 5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Pakietowanie produktów / usług należących do różnych specjalizacji regionalnych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Ocenie podlega, czy pakietowane produkty / usługi należą do różnych specjalizacji regionalnych i łączą je w innowacyjny sposób.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wszystkie pakietowane produkty / usługi należą do jednej specjalizacji – 0 pkt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przynajmniej jeden pakietowany produkt / usługa należy do całkiem inne niż pozostałe regionalnej specjalizacji – 2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2 punktów (maksymalnie).</w:t>
            </w: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9.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Zarządzanie jakością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 xml:space="preserve">Ocenie podlega, czy Wnioskodawca/ partnerzy (jeśli dotyczy) posiada certyfikaty jakości, co gwarantuje pozytywne efekty realizacji projektu. Kryterium uznaje się za spełnione, jeżeli Wnioskodawca w momencie złożenia wniosku o dofinansowanie posiada akredytowany certyfikat jakości zgodny z normą ISO 9001, akredytowany certyfikat Systemu Zarządzania Bezpieczeństwem </w:t>
            </w: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i Higieną Pracy zgodny z wymaganiami OHSAS 18001 lub PN-N-18001 lub akredytowany certyfikat Systemu Zarządzania Środowiskowego zgodny z wymaganiami normy ISO 14001 lub rozporządzeniem EMAS.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brak certyfikatów lub ważność przedłożonego certyfikatu upłynęła przed dniem złożenia wniosku o dofinansowanie. – 0 pkt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udokumentowane posiadanie certyfikatu jakości  – 2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2 punktów (maksymalnie).</w:t>
            </w: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10.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Pakietowanie produktów / usług o wysokiej intensywności B+R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Ocenie podlega, czy pakietowanie produktów / usług  prowadzą podmioty działające w sektorach o dużej „intensywności B+R” (wysokiej lub średniowysokiej techniki według klasyfikacji OECD).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większość partnerów uczestniczących w pakietowaniu produktów / usług należy do sektorów innych niż wysokiej i średniowysokiej techniki – 0 pkt</w:t>
            </w:r>
          </w:p>
          <w:p w:rsidR="00F829ED" w:rsidRPr="004B4B8E" w:rsidRDefault="00F829ED" w:rsidP="004B4B8E">
            <w:pPr>
              <w:keepLines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większość partnerów uczestniczących w pakietowaniu produktów / usług należy do sektorów wysokiej i średniowysokiej techniki – 3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4B4B8E" w:rsidRDefault="00F829ED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może otrzymać od 0 do 3 punktów (maksymalnie).</w:t>
            </w: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11.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Wpływ na rozwiązanie wszystkich zdiagnozowanych problemów kluczowych interesariuszy.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Weryfikowane będzie rozwiązanie przez projekt wszystkich naglących problemów kluczowych interesariuszy.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keepNext/>
              <w:keepLines/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16" w:hanging="316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przyczynia się do rozwiązania wybranych problemów kluczowych interesariuszy w obszarze objętym projektem – 0 pkt</w:t>
            </w:r>
          </w:p>
          <w:p w:rsidR="00F829ED" w:rsidRPr="004B4B8E" w:rsidRDefault="00F829ED" w:rsidP="004B4B8E">
            <w:pPr>
              <w:numPr>
                <w:ilvl w:val="0"/>
                <w:numId w:val="15"/>
              </w:numPr>
              <w:tabs>
                <w:tab w:val="left" w:pos="316"/>
              </w:tabs>
              <w:ind w:left="316" w:hanging="316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projekt przyczynia się do rozwiązania wszystkich zdiagnozowanych problemów </w:t>
            </w: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kluczowych interesariuszy w obszarze objętym projektem – 1 pkt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keepNext/>
              <w:autoSpaceDE w:val="0"/>
              <w:autoSpaceDN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Kryterium punktowe –przyznanie 0 punktów nie dyskwalifikuje z możliwości uzyskania dofinansowania.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829ED" w:rsidRPr="004B4B8E" w:rsidTr="006969F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12.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829ED" w:rsidRPr="004B4B8E" w:rsidRDefault="00F829ED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Realizacja kilku komplementarnych celów.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829ED" w:rsidRPr="004B4B8E" w:rsidRDefault="00F829ED" w:rsidP="004B4B8E">
            <w:pPr>
              <w:keepNext/>
              <w:keepLines/>
              <w:numPr>
                <w:ilvl w:val="0"/>
                <w:numId w:val="1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16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realizuje jeden cel – 0 pkt</w:t>
            </w:r>
          </w:p>
          <w:p w:rsidR="00F829ED" w:rsidRPr="004B4B8E" w:rsidRDefault="00F829ED" w:rsidP="004B4B8E">
            <w:pPr>
              <w:keepNext/>
              <w:keepLines/>
              <w:numPr>
                <w:ilvl w:val="0"/>
                <w:numId w:val="1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16" w:hanging="283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projekt realizuje kilka uzupełniających się celów wymagających odrębnych działań – 1 pkt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F829ED" w:rsidRPr="004B4B8E" w:rsidRDefault="00F829ED" w:rsidP="004B4B8E">
            <w:pPr>
              <w:keepNext/>
              <w:autoSpaceDE w:val="0"/>
              <w:autoSpaceDN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punktowe –przyznanie 0 punktów nie dyskwalifikuje z możliwości uzyskania dofinansowania.</w:t>
            </w:r>
          </w:p>
          <w:p w:rsidR="00F829ED" w:rsidRPr="004B4B8E" w:rsidRDefault="00F829ED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71953" w:rsidRPr="004B4B8E" w:rsidTr="00771953">
        <w:trPr>
          <w:trHeight w:val="603"/>
        </w:trPr>
        <w:tc>
          <w:tcPr>
            <w:tcW w:w="14850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71953" w:rsidRPr="004B4B8E" w:rsidRDefault="00771953" w:rsidP="00771953">
            <w:pPr>
              <w:keepNext/>
              <w:autoSpaceDE w:val="0"/>
              <w:autoSpaceDN w:val="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Maksymalna liczba punktów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= 44 </w:t>
            </w:r>
            <w:proofErr w:type="spellStart"/>
            <w:r>
              <w:rPr>
                <w:rFonts w:ascii="Arial" w:eastAsia="Calibri" w:hAnsi="Arial" w:cs="Arial"/>
                <w:b/>
                <w:lang w:eastAsia="en-US"/>
              </w:rPr>
              <w:t>pkt</w:t>
            </w:r>
            <w:proofErr w:type="spellEnd"/>
            <w:r>
              <w:rPr>
                <w:rFonts w:ascii="Arial" w:eastAsia="Calibri" w:hAnsi="Arial" w:cs="Arial"/>
                <w:b/>
                <w:lang w:eastAsia="en-US"/>
              </w:rPr>
              <w:t>, 60</w:t>
            </w: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% = </w:t>
            </w:r>
            <w:r w:rsidR="002A2446">
              <w:rPr>
                <w:rFonts w:ascii="Arial" w:eastAsia="Calibri" w:hAnsi="Arial" w:cs="Arial"/>
                <w:b/>
                <w:lang w:eastAsia="en-US"/>
              </w:rPr>
              <w:t>27</w:t>
            </w: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pkt</w:t>
            </w:r>
            <w:proofErr w:type="spellEnd"/>
          </w:p>
        </w:tc>
      </w:tr>
      <w:tr w:rsidR="00F829ED" w:rsidRPr="004B4B8E" w:rsidTr="006969F7">
        <w:tc>
          <w:tcPr>
            <w:tcW w:w="14850" w:type="dxa"/>
            <w:gridSpan w:val="4"/>
            <w:shd w:val="clear" w:color="auto" w:fill="BFBFBF"/>
            <w:vAlign w:val="center"/>
          </w:tcPr>
          <w:p w:rsidR="00F829ED" w:rsidRPr="004B4B8E" w:rsidRDefault="00F829ED" w:rsidP="004B4B8E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F829ED" w:rsidRPr="004B4B8E" w:rsidRDefault="00F829ED" w:rsidP="004B4B8E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bCs/>
                <w:sz w:val="21"/>
                <w:szCs w:val="21"/>
              </w:rPr>
              <w:t>KRYTERIA MERYTORYCZNE – PREMIUJĄCE</w:t>
            </w:r>
          </w:p>
          <w:p w:rsidR="00F829ED" w:rsidRPr="004B4B8E" w:rsidRDefault="00F829ED" w:rsidP="004B4B8E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829ED" w:rsidRPr="004B4B8E" w:rsidTr="00687898">
        <w:tc>
          <w:tcPr>
            <w:tcW w:w="675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Nazwa kryterium</w:t>
            </w:r>
          </w:p>
        </w:tc>
        <w:tc>
          <w:tcPr>
            <w:tcW w:w="4962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Definicja kryterium</w:t>
            </w:r>
          </w:p>
        </w:tc>
        <w:tc>
          <w:tcPr>
            <w:tcW w:w="5244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 xml:space="preserve">Opis </w:t>
            </w:r>
            <w:r w:rsidR="00771953">
              <w:rPr>
                <w:rFonts w:ascii="Arial" w:hAnsi="Arial" w:cs="Arial"/>
                <w:b/>
                <w:sz w:val="21"/>
                <w:szCs w:val="21"/>
              </w:rPr>
              <w:t xml:space="preserve">znaczenia </w:t>
            </w:r>
            <w:r w:rsidRPr="004B4B8E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</w:tr>
      <w:tr w:rsidR="00E6466E" w:rsidRPr="004B4B8E" w:rsidTr="00687898">
        <w:tc>
          <w:tcPr>
            <w:tcW w:w="675" w:type="dxa"/>
            <w:vMerge w:val="restart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969" w:type="dxa"/>
            <w:vMerge w:val="restart"/>
            <w:vAlign w:val="center"/>
          </w:tcPr>
          <w:p w:rsidR="00E6466E" w:rsidRPr="004B4B8E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color w:val="000000"/>
                <w:sz w:val="21"/>
                <w:szCs w:val="21"/>
              </w:rPr>
              <w:t>Zgodność projektu z zasadami horyzontalnymi wynikającymi z RPO WiM 2014-2020</w:t>
            </w:r>
            <w:r w:rsidRPr="004B4B8E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4962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Preferowane będą projekty spełniające zasady horyzontalne, w szczególności: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Kryterium punktowe (min-max).</w:t>
            </w:r>
          </w:p>
        </w:tc>
      </w:tr>
      <w:tr w:rsidR="00E6466E" w:rsidRPr="004B4B8E" w:rsidTr="00687898">
        <w:tc>
          <w:tcPr>
            <w:tcW w:w="675" w:type="dxa"/>
            <w:vMerge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E6466E" w:rsidRPr="004B4B8E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62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- kryterium odprowadzania podatków na terenie województwa warmińsko-mazurskiego w obszarze realizacji projektu,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E6466E" w:rsidRPr="004B4B8E" w:rsidRDefault="00E6466E" w:rsidP="004B4B8E">
            <w:pPr>
              <w:pStyle w:val="Tekstpodstawowy"/>
              <w:keepNext/>
              <w:numPr>
                <w:ilvl w:val="0"/>
                <w:numId w:val="17"/>
              </w:numPr>
              <w:tabs>
                <w:tab w:val="clear" w:pos="720"/>
                <w:tab w:val="left" w:pos="-2"/>
              </w:tabs>
              <w:snapToGrid w:val="0"/>
              <w:spacing w:line="240" w:lineRule="auto"/>
              <w:ind w:left="282" w:hanging="284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podatek dochodowy (PIT, CIT),</w:t>
            </w:r>
          </w:p>
          <w:p w:rsidR="00E6466E" w:rsidRPr="004B4B8E" w:rsidRDefault="00E6466E" w:rsidP="004B4B8E">
            <w:pPr>
              <w:pStyle w:val="Tekstpodstawowy"/>
              <w:keepNext/>
              <w:numPr>
                <w:ilvl w:val="0"/>
                <w:numId w:val="17"/>
              </w:numPr>
              <w:tabs>
                <w:tab w:val="clear" w:pos="720"/>
                <w:tab w:val="left" w:pos="-2"/>
              </w:tabs>
              <w:snapToGrid w:val="0"/>
              <w:spacing w:line="240" w:lineRule="auto"/>
              <w:ind w:left="282" w:hanging="284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podatek od towarów i usług (VAT),</w:t>
            </w:r>
          </w:p>
          <w:p w:rsidR="00E6466E" w:rsidRPr="004B4B8E" w:rsidRDefault="00E6466E" w:rsidP="004B4B8E">
            <w:pPr>
              <w:pStyle w:val="Tekstpodstawowy"/>
              <w:keepNext/>
              <w:numPr>
                <w:ilvl w:val="0"/>
                <w:numId w:val="17"/>
              </w:numPr>
              <w:tabs>
                <w:tab w:val="clear" w:pos="720"/>
                <w:tab w:val="left" w:pos="-2"/>
              </w:tabs>
              <w:snapToGrid w:val="0"/>
              <w:spacing w:line="240" w:lineRule="auto"/>
              <w:ind w:left="282" w:hanging="284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akcyza,</w:t>
            </w:r>
          </w:p>
          <w:p w:rsidR="00E6466E" w:rsidRPr="004B4B8E" w:rsidRDefault="00E6466E" w:rsidP="004B4B8E">
            <w:pPr>
              <w:pStyle w:val="Tekstpodstawowy"/>
              <w:keepNext/>
              <w:numPr>
                <w:ilvl w:val="0"/>
                <w:numId w:val="17"/>
              </w:numPr>
              <w:tabs>
                <w:tab w:val="clear" w:pos="720"/>
                <w:tab w:val="left" w:pos="-2"/>
              </w:tabs>
              <w:snapToGrid w:val="0"/>
              <w:spacing w:line="240" w:lineRule="auto"/>
              <w:ind w:left="282" w:hanging="284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podatek od nieruchomości, </w:t>
            </w:r>
          </w:p>
          <w:p w:rsidR="00E6466E" w:rsidRPr="004B4B8E" w:rsidRDefault="00E6466E" w:rsidP="004B4B8E">
            <w:pPr>
              <w:pStyle w:val="Tekstpodstawowy"/>
              <w:keepNext/>
              <w:numPr>
                <w:ilvl w:val="0"/>
                <w:numId w:val="17"/>
              </w:numPr>
              <w:tabs>
                <w:tab w:val="clear" w:pos="720"/>
                <w:tab w:val="left" w:pos="-2"/>
              </w:tabs>
              <w:snapToGrid w:val="0"/>
              <w:spacing w:line="240" w:lineRule="auto"/>
              <w:ind w:left="282" w:hanging="284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podatek od środków transportowych,</w:t>
            </w:r>
          </w:p>
          <w:p w:rsidR="00E6466E" w:rsidRPr="004B4B8E" w:rsidRDefault="00E6466E" w:rsidP="004B4B8E">
            <w:pPr>
              <w:pStyle w:val="Tekstpodstawowy"/>
              <w:keepNext/>
              <w:numPr>
                <w:ilvl w:val="0"/>
                <w:numId w:val="17"/>
              </w:numPr>
              <w:tabs>
                <w:tab w:val="clear" w:pos="720"/>
                <w:tab w:val="left" w:pos="-2"/>
              </w:tabs>
              <w:snapToGrid w:val="0"/>
              <w:spacing w:line="240" w:lineRule="auto"/>
              <w:ind w:left="282" w:hanging="284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podatek od czynności cywilnoprawnych od umowy spółki.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 xml:space="preserve">W ramach kryterium można przyznać następujące </w:t>
            </w: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lastRenderedPageBreak/>
              <w:t>punkty: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Projekt  w tym kryterium może otrzymać od 0 do 3 pkt</w:t>
            </w:r>
          </w:p>
        </w:tc>
      </w:tr>
      <w:tr w:rsidR="00E6466E" w:rsidRPr="004B4B8E" w:rsidTr="00687898">
        <w:tc>
          <w:tcPr>
            <w:tcW w:w="675" w:type="dxa"/>
            <w:vMerge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E6466E" w:rsidRPr="004B4B8E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62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- kryterium komunikacji z interesariuszami,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 xml:space="preserve">Kryterium premiuje budowanie dowolnej formy komunikacji, kontaktu, wymiany informacji miedzy osobami, instytucjami i firmami na zasadzie partnerstwa, </w:t>
            </w:r>
            <w:r w:rsidRPr="004B4B8E">
              <w:rPr>
                <w:rFonts w:ascii="Arial" w:hAnsi="Arial" w:cs="Arial"/>
                <w:iCs/>
                <w:sz w:val="21"/>
                <w:szCs w:val="21"/>
                <w:lang w:eastAsia="en-US"/>
              </w:rPr>
              <w:t>który zapewni ich aktywny udział w przygotowaniu projektu oraz branie ich zdania pod uwagę podczas podejmowania kluczowych decyzji dotyczących projektu</w:t>
            </w: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.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W ramach kryterium można przyznać następujące punkty: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1 pkt – Wnioskodawca i partnerzy (jeśli dotyczy) zapewnili komunikacji z interesariuszami projektu w powyższy sposób</w:t>
            </w:r>
          </w:p>
        </w:tc>
      </w:tr>
      <w:tr w:rsidR="00E6466E" w:rsidRPr="004B4B8E" w:rsidTr="00687898">
        <w:tc>
          <w:tcPr>
            <w:tcW w:w="675" w:type="dxa"/>
            <w:vMerge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E6466E" w:rsidRPr="004B4B8E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62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- efektywne i racjonalne wykorzystywanie zasobów naturalnych oraz stosowanie rozwiązań przyjaznych środowisku,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W ramach kryterium można przyznać następujące punkty: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lastRenderedPageBreak/>
              <w:t>0 pkt – w projekcie nie przewidziano działań efektywnie i racjonalnie wykorzystujących zasoby naturalne i stosujących rozwiązania przyjazne środowisku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4B4B8E">
              <w:rPr>
                <w:rFonts w:ascii="Arial" w:hAnsi="Arial" w:cs="Arial"/>
                <w:color w:val="FF0000"/>
                <w:sz w:val="21"/>
                <w:szCs w:val="21"/>
                <w:lang w:eastAsia="en-US"/>
              </w:rPr>
              <w:t>.</w:t>
            </w:r>
          </w:p>
        </w:tc>
      </w:tr>
      <w:tr w:rsidR="00E6466E" w:rsidRPr="004B4B8E" w:rsidTr="00687898">
        <w:tc>
          <w:tcPr>
            <w:tcW w:w="675" w:type="dxa"/>
            <w:vMerge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E6466E" w:rsidRPr="004B4B8E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62" w:type="dxa"/>
            <w:vAlign w:val="center"/>
          </w:tcPr>
          <w:p w:rsidR="00E6466E" w:rsidRPr="004B4B8E" w:rsidRDefault="00E6466E" w:rsidP="00633759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- kryterium stosowania klauzul społecznych w zamówieniach</w:t>
            </w:r>
            <w:r w:rsidR="0032318B">
              <w:rPr>
                <w:rFonts w:ascii="Arial" w:hAnsi="Arial" w:cs="Arial"/>
                <w:sz w:val="21"/>
                <w:szCs w:val="21"/>
              </w:rPr>
              <w:t xml:space="preserve"> publicznych</w:t>
            </w:r>
            <w:r w:rsidR="00633759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Kryterium premiuje założone we wniosku o dofinansowanie wykorzystanie  przy wyborze oferentów  – obok jakości i ceny – także kryteriów odnoszących się do kwestii społecznych (dopuszczonych przez prawo zamówień publicznych).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W ramach kryterium można przyznać następujące punkty:</w:t>
            </w:r>
          </w:p>
          <w:p w:rsidR="00E6466E" w:rsidRPr="004B4B8E" w:rsidRDefault="00E6466E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 xml:space="preserve">0 pkt – w zamówieniach </w:t>
            </w:r>
            <w:r w:rsidR="0032318B">
              <w:rPr>
                <w:rFonts w:ascii="Arial" w:hAnsi="Arial" w:cs="Arial"/>
                <w:sz w:val="21"/>
                <w:szCs w:val="21"/>
                <w:lang w:val="pl-PL" w:eastAsia="en-US"/>
              </w:rPr>
              <w:t xml:space="preserve">publicznych </w:t>
            </w: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realizowanych/ planowanych do realizacji w ramach projektu nie wskazano, czy wśród kryteriów wyboru oferentów będą kryteria odnoszące się do kwestii społecznych</w:t>
            </w:r>
          </w:p>
          <w:p w:rsidR="00E6466E" w:rsidRPr="004B4B8E" w:rsidRDefault="00E6466E" w:rsidP="00633759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 xml:space="preserve">1 pkt – w zamówieniach </w:t>
            </w:r>
            <w:r w:rsidR="0032318B">
              <w:rPr>
                <w:rFonts w:ascii="Arial" w:hAnsi="Arial" w:cs="Arial"/>
                <w:sz w:val="21"/>
                <w:szCs w:val="21"/>
                <w:lang w:val="pl-PL" w:eastAsia="en-US"/>
              </w:rPr>
              <w:t xml:space="preserve">publicznych </w:t>
            </w:r>
            <w:r w:rsidRPr="004B4B8E">
              <w:rPr>
                <w:rFonts w:ascii="Arial" w:hAnsi="Arial" w:cs="Arial"/>
                <w:sz w:val="21"/>
                <w:szCs w:val="21"/>
                <w:lang w:eastAsia="en-US"/>
              </w:rPr>
              <w:t>realizowanych/ planowanych do realizacji w ramach projektu zobowiązano się do stosowania kryteriów odnoszących się do kwestii społecznych</w:t>
            </w:r>
          </w:p>
        </w:tc>
      </w:tr>
      <w:tr w:rsidR="00E6466E" w:rsidRPr="004B4B8E" w:rsidTr="00687898">
        <w:tc>
          <w:tcPr>
            <w:tcW w:w="675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3969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Komplementarność projektu. </w:t>
            </w:r>
          </w:p>
        </w:tc>
        <w:tc>
          <w:tcPr>
            <w:tcW w:w="4962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projekty kompleksowe (w osiąganiu celu w pełni i całkowitej likwidacji problemu na danym obszarze).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 (punkty sumują się do maksymalnie 5 pkt):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2 pkt –   projekt jest końcowym elementem wypełniającym ostatnią lukę w istniejącej infrastrukturze na danym obszarze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1 pkt – projekt bezpośrednio wykorzystuje produkty bądź rezultaty innego projektu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 xml:space="preserve">1 pkt –  projekt pełni łącznie z innymi projektami tę samą funkcję, dzięki czemu w pełni wykorzystywane </w:t>
            </w: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są możliwości istniejącej infrastruktury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1 pkt – projekt łącznie z innymi projektami jest wykorzystywany przez tych samych użytkowników</w:t>
            </w:r>
          </w:p>
        </w:tc>
      </w:tr>
      <w:tr w:rsidR="00E6466E" w:rsidRPr="004B4B8E" w:rsidTr="00687898">
        <w:tc>
          <w:tcPr>
            <w:tcW w:w="675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lastRenderedPageBreak/>
              <w:t>3.</w:t>
            </w:r>
          </w:p>
        </w:tc>
        <w:tc>
          <w:tcPr>
            <w:tcW w:w="3969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Doświadczenie w realizacji podobnych projektów</w:t>
            </w:r>
          </w:p>
        </w:tc>
        <w:tc>
          <w:tcPr>
            <w:tcW w:w="4962" w:type="dxa"/>
            <w:vAlign w:val="center"/>
          </w:tcPr>
          <w:p w:rsidR="00E6466E" w:rsidRPr="004B4B8E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Weryfikowane będzie doświadczenie Wnioskodawcy i/lub partnerów w realizacji podobnych projektów lub przedsięwzięć współfinansowanych ze środków europejskich od roku 2007.</w:t>
            </w:r>
          </w:p>
        </w:tc>
        <w:tc>
          <w:tcPr>
            <w:tcW w:w="5244" w:type="dxa"/>
            <w:vAlign w:val="center"/>
          </w:tcPr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0 pkt –  Wnioskodawca i partnerzy (jeśli dotyczy) nie posiadają doświadczenia w realizacji podobnych projektów lub przedsięwzięć</w:t>
            </w:r>
          </w:p>
          <w:p w:rsidR="00E6466E" w:rsidRPr="004B4B8E" w:rsidRDefault="00E6466E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1 pkt – Wnioskodawca i/lub partnerzy (jeśli dotyczy) zrealizowali (zakończyli i rozliczyli) przynajmniej jeden  podobny projekt lub przedsięwzięcie współfinansowane ze środków europejskich od roku 2007</w:t>
            </w:r>
          </w:p>
        </w:tc>
      </w:tr>
      <w:tr w:rsidR="00771953" w:rsidRPr="004B4B8E" w:rsidTr="00771953">
        <w:trPr>
          <w:trHeight w:val="499"/>
        </w:trPr>
        <w:tc>
          <w:tcPr>
            <w:tcW w:w="14850" w:type="dxa"/>
            <w:gridSpan w:val="4"/>
            <w:shd w:val="clear" w:color="auto" w:fill="F2F2F2"/>
            <w:vAlign w:val="center"/>
          </w:tcPr>
          <w:p w:rsidR="00771953" w:rsidRPr="004B4B8E" w:rsidRDefault="00771953" w:rsidP="0077195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Maksymalna liczba punktów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= </w:t>
            </w:r>
            <w:r>
              <w:rPr>
                <w:rFonts w:ascii="Arial" w:eastAsia="Calibri" w:hAnsi="Arial" w:cs="Arial"/>
                <w:b/>
                <w:lang w:eastAsia="en-US"/>
              </w:rPr>
              <w:t>12</w:t>
            </w: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pkt</w:t>
            </w:r>
            <w:proofErr w:type="spellEnd"/>
          </w:p>
        </w:tc>
      </w:tr>
    </w:tbl>
    <w:p w:rsidR="00475EF1" w:rsidRDefault="00475EF1" w:rsidP="004B4B8E">
      <w:pPr>
        <w:jc w:val="both"/>
        <w:rPr>
          <w:rFonts w:ascii="Arial" w:hAnsi="Arial" w:cs="Arial"/>
          <w:sz w:val="21"/>
          <w:szCs w:val="21"/>
        </w:rPr>
      </w:pPr>
    </w:p>
    <w:sectPr w:rsidR="00475EF1" w:rsidSect="00EC0A0C">
      <w:headerReference w:type="default" r:id="rId8"/>
      <w:headerReference w:type="first" r:id="rId9"/>
      <w:pgSz w:w="16838" w:h="11906" w:orient="landscape" w:code="9"/>
      <w:pgMar w:top="1134" w:right="1639" w:bottom="851" w:left="567" w:header="425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BDE" w:rsidRDefault="00090BDE">
      <w:r>
        <w:separator/>
      </w:r>
    </w:p>
  </w:endnote>
  <w:endnote w:type="continuationSeparator" w:id="0">
    <w:p w:rsidR="00090BDE" w:rsidRDefault="00090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BDE" w:rsidRDefault="00090BDE">
      <w:r>
        <w:separator/>
      </w:r>
    </w:p>
  </w:footnote>
  <w:footnote w:type="continuationSeparator" w:id="0">
    <w:p w:rsidR="00090BDE" w:rsidRDefault="00090BDE">
      <w:r>
        <w:continuationSeparator/>
      </w:r>
    </w:p>
  </w:footnote>
  <w:footnote w:id="1">
    <w:p w:rsidR="00F829ED" w:rsidRPr="0095652B" w:rsidRDefault="00F829ED" w:rsidP="0006371E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rFonts w:ascii="Calibri" w:hAnsi="Calibri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F829ED" w:rsidRPr="0095652B" w:rsidRDefault="00F829ED" w:rsidP="0006371E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23F" w:rsidRDefault="002901E8" w:rsidP="00242C9D">
    <w:pPr>
      <w:pStyle w:val="Nagwek"/>
      <w:jc w:val="center"/>
    </w:pPr>
    <w:r>
      <w:rPr>
        <w:noProof/>
      </w:rPr>
      <w:drawing>
        <wp:inline distT="0" distB="0" distL="0" distR="0">
          <wp:extent cx="6400800" cy="828675"/>
          <wp:effectExtent l="1905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2A" w:rsidRDefault="002901E8" w:rsidP="00C702A2">
    <w:pPr>
      <w:pStyle w:val="Nagwek"/>
      <w:jc w:val="center"/>
    </w:pPr>
    <w:r>
      <w:rPr>
        <w:noProof/>
      </w:rPr>
      <w:drawing>
        <wp:inline distT="0" distB="0" distL="0" distR="0">
          <wp:extent cx="6400800" cy="828675"/>
          <wp:effectExtent l="19050" t="0" r="0" b="0"/>
          <wp:docPr id="1" name="Obraz 1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5D06"/>
    <w:multiLevelType w:val="hybridMultilevel"/>
    <w:tmpl w:val="22B284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C0210"/>
    <w:multiLevelType w:val="hybridMultilevel"/>
    <w:tmpl w:val="982076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253F0"/>
    <w:multiLevelType w:val="hybridMultilevel"/>
    <w:tmpl w:val="F1644A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5501F"/>
    <w:multiLevelType w:val="hybridMultilevel"/>
    <w:tmpl w:val="E0FE1F3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B57EE"/>
    <w:multiLevelType w:val="multilevel"/>
    <w:tmpl w:val="22B284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BB4BEE"/>
    <w:multiLevelType w:val="hybridMultilevel"/>
    <w:tmpl w:val="D01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62FD7"/>
    <w:multiLevelType w:val="hybridMultilevel"/>
    <w:tmpl w:val="ED1E46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5DCB763D"/>
    <w:multiLevelType w:val="hybridMultilevel"/>
    <w:tmpl w:val="9116A392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68F310AA"/>
    <w:multiLevelType w:val="hybridMultilevel"/>
    <w:tmpl w:val="A2B8E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4373FC6"/>
    <w:multiLevelType w:val="hybridMultilevel"/>
    <w:tmpl w:val="90AEE74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36178"/>
    <w:multiLevelType w:val="hybridMultilevel"/>
    <w:tmpl w:val="F4AE49C6"/>
    <w:lvl w:ilvl="0" w:tplc="C9FA3760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5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922646"/>
    <w:multiLevelType w:val="hybridMultilevel"/>
    <w:tmpl w:val="F35EF82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4"/>
  </w:num>
  <w:num w:numId="7">
    <w:abstractNumId w:val="10"/>
  </w:num>
  <w:num w:numId="8">
    <w:abstractNumId w:val="1"/>
  </w:num>
  <w:num w:numId="9">
    <w:abstractNumId w:val="13"/>
  </w:num>
  <w:num w:numId="10">
    <w:abstractNumId w:val="9"/>
  </w:num>
  <w:num w:numId="11">
    <w:abstractNumId w:val="4"/>
  </w:num>
  <w:num w:numId="12">
    <w:abstractNumId w:val="16"/>
  </w:num>
  <w:num w:numId="13">
    <w:abstractNumId w:val="8"/>
  </w:num>
  <w:num w:numId="14">
    <w:abstractNumId w:val="15"/>
  </w:num>
  <w:num w:numId="15">
    <w:abstractNumId w:val="3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323A8"/>
    <w:rsid w:val="00026AE3"/>
    <w:rsid w:val="0003346B"/>
    <w:rsid w:val="000400CE"/>
    <w:rsid w:val="0004392B"/>
    <w:rsid w:val="00044F4B"/>
    <w:rsid w:val="0005768A"/>
    <w:rsid w:val="000579DA"/>
    <w:rsid w:val="0006371E"/>
    <w:rsid w:val="00064608"/>
    <w:rsid w:val="0007017C"/>
    <w:rsid w:val="00073DBB"/>
    <w:rsid w:val="0008377C"/>
    <w:rsid w:val="000903DF"/>
    <w:rsid w:val="00090BDE"/>
    <w:rsid w:val="000938DA"/>
    <w:rsid w:val="000A325E"/>
    <w:rsid w:val="000A3C03"/>
    <w:rsid w:val="000C2E30"/>
    <w:rsid w:val="000C59F8"/>
    <w:rsid w:val="000C5F66"/>
    <w:rsid w:val="000D0732"/>
    <w:rsid w:val="000D078D"/>
    <w:rsid w:val="000D621F"/>
    <w:rsid w:val="000E4C45"/>
    <w:rsid w:val="000F53F1"/>
    <w:rsid w:val="000F57FE"/>
    <w:rsid w:val="00105272"/>
    <w:rsid w:val="001057EF"/>
    <w:rsid w:val="00107778"/>
    <w:rsid w:val="00115A4B"/>
    <w:rsid w:val="00121B93"/>
    <w:rsid w:val="00142E0E"/>
    <w:rsid w:val="00155566"/>
    <w:rsid w:val="00166948"/>
    <w:rsid w:val="001679BC"/>
    <w:rsid w:val="00170698"/>
    <w:rsid w:val="00173A6D"/>
    <w:rsid w:val="00175EA8"/>
    <w:rsid w:val="00176455"/>
    <w:rsid w:val="00183368"/>
    <w:rsid w:val="00183B48"/>
    <w:rsid w:val="00183F9D"/>
    <w:rsid w:val="00187E47"/>
    <w:rsid w:val="00196E9D"/>
    <w:rsid w:val="001A14B7"/>
    <w:rsid w:val="001A63EC"/>
    <w:rsid w:val="001B2B34"/>
    <w:rsid w:val="001D3A25"/>
    <w:rsid w:val="001D5C4C"/>
    <w:rsid w:val="001E5AE3"/>
    <w:rsid w:val="001F1B9D"/>
    <w:rsid w:val="00225101"/>
    <w:rsid w:val="00232F8A"/>
    <w:rsid w:val="002334C8"/>
    <w:rsid w:val="00242C9D"/>
    <w:rsid w:val="002559D2"/>
    <w:rsid w:val="00257C95"/>
    <w:rsid w:val="00264C78"/>
    <w:rsid w:val="0026689A"/>
    <w:rsid w:val="00272869"/>
    <w:rsid w:val="00275F2A"/>
    <w:rsid w:val="002813DC"/>
    <w:rsid w:val="002901E8"/>
    <w:rsid w:val="002A2446"/>
    <w:rsid w:val="002B2B28"/>
    <w:rsid w:val="002C0EE5"/>
    <w:rsid w:val="002C0F7B"/>
    <w:rsid w:val="002C1EC4"/>
    <w:rsid w:val="002C2186"/>
    <w:rsid w:val="002C36A0"/>
    <w:rsid w:val="002C39B5"/>
    <w:rsid w:val="002D1BE5"/>
    <w:rsid w:val="002E1E46"/>
    <w:rsid w:val="002E4DDB"/>
    <w:rsid w:val="002E6627"/>
    <w:rsid w:val="00312046"/>
    <w:rsid w:val="0032023F"/>
    <w:rsid w:val="0032318B"/>
    <w:rsid w:val="00326D63"/>
    <w:rsid w:val="00334BE1"/>
    <w:rsid w:val="00335075"/>
    <w:rsid w:val="00335EC2"/>
    <w:rsid w:val="00337507"/>
    <w:rsid w:val="003444A1"/>
    <w:rsid w:val="00350011"/>
    <w:rsid w:val="003821E3"/>
    <w:rsid w:val="00384333"/>
    <w:rsid w:val="00384EDD"/>
    <w:rsid w:val="003A500F"/>
    <w:rsid w:val="003B5F9A"/>
    <w:rsid w:val="003B757F"/>
    <w:rsid w:val="003D6D9A"/>
    <w:rsid w:val="003E4268"/>
    <w:rsid w:val="003E5FB3"/>
    <w:rsid w:val="00416057"/>
    <w:rsid w:val="00426720"/>
    <w:rsid w:val="004305FA"/>
    <w:rsid w:val="004318AB"/>
    <w:rsid w:val="00446EC4"/>
    <w:rsid w:val="00461D22"/>
    <w:rsid w:val="00466A3C"/>
    <w:rsid w:val="0046775E"/>
    <w:rsid w:val="0047077E"/>
    <w:rsid w:val="00473327"/>
    <w:rsid w:val="00475EF1"/>
    <w:rsid w:val="00486F20"/>
    <w:rsid w:val="00494AB6"/>
    <w:rsid w:val="00496BB1"/>
    <w:rsid w:val="004970B7"/>
    <w:rsid w:val="004A5B67"/>
    <w:rsid w:val="004B0088"/>
    <w:rsid w:val="004B3AB2"/>
    <w:rsid w:val="004B4B8E"/>
    <w:rsid w:val="004B5B85"/>
    <w:rsid w:val="004C7C9B"/>
    <w:rsid w:val="00505D5C"/>
    <w:rsid w:val="005135DC"/>
    <w:rsid w:val="00520810"/>
    <w:rsid w:val="00521C56"/>
    <w:rsid w:val="00532927"/>
    <w:rsid w:val="0057081A"/>
    <w:rsid w:val="0058060C"/>
    <w:rsid w:val="0058508D"/>
    <w:rsid w:val="005A70D1"/>
    <w:rsid w:val="005C5971"/>
    <w:rsid w:val="005D0321"/>
    <w:rsid w:val="005D214B"/>
    <w:rsid w:val="005E117C"/>
    <w:rsid w:val="005E4D2F"/>
    <w:rsid w:val="00600344"/>
    <w:rsid w:val="00623566"/>
    <w:rsid w:val="0063023F"/>
    <w:rsid w:val="00633759"/>
    <w:rsid w:val="0065682F"/>
    <w:rsid w:val="0066581A"/>
    <w:rsid w:val="00665923"/>
    <w:rsid w:val="00673541"/>
    <w:rsid w:val="00680D8C"/>
    <w:rsid w:val="00687898"/>
    <w:rsid w:val="006969F7"/>
    <w:rsid w:val="006A2D75"/>
    <w:rsid w:val="006A2DFE"/>
    <w:rsid w:val="006C15B3"/>
    <w:rsid w:val="006F2D88"/>
    <w:rsid w:val="0071437C"/>
    <w:rsid w:val="00715EEB"/>
    <w:rsid w:val="00722C48"/>
    <w:rsid w:val="00724EB7"/>
    <w:rsid w:val="007270FC"/>
    <w:rsid w:val="0073405F"/>
    <w:rsid w:val="0074782E"/>
    <w:rsid w:val="00763D2A"/>
    <w:rsid w:val="00767237"/>
    <w:rsid w:val="00770F7C"/>
    <w:rsid w:val="00771953"/>
    <w:rsid w:val="007732F8"/>
    <w:rsid w:val="00774E8C"/>
    <w:rsid w:val="00787EB3"/>
    <w:rsid w:val="00793CC1"/>
    <w:rsid w:val="00793D92"/>
    <w:rsid w:val="0079711D"/>
    <w:rsid w:val="007A023F"/>
    <w:rsid w:val="007B2A36"/>
    <w:rsid w:val="007C391F"/>
    <w:rsid w:val="007D246B"/>
    <w:rsid w:val="007D3CAE"/>
    <w:rsid w:val="007D5F31"/>
    <w:rsid w:val="007D651A"/>
    <w:rsid w:val="007E61FE"/>
    <w:rsid w:val="007F474F"/>
    <w:rsid w:val="00801DA1"/>
    <w:rsid w:val="00823DF8"/>
    <w:rsid w:val="00825375"/>
    <w:rsid w:val="00826E4E"/>
    <w:rsid w:val="00840DFD"/>
    <w:rsid w:val="008410E8"/>
    <w:rsid w:val="00865B1A"/>
    <w:rsid w:val="00867971"/>
    <w:rsid w:val="00874137"/>
    <w:rsid w:val="008831D3"/>
    <w:rsid w:val="008C60D1"/>
    <w:rsid w:val="008D6BB8"/>
    <w:rsid w:val="008D6D91"/>
    <w:rsid w:val="008E7B6C"/>
    <w:rsid w:val="008F617E"/>
    <w:rsid w:val="00906A2F"/>
    <w:rsid w:val="009212A8"/>
    <w:rsid w:val="00926CE7"/>
    <w:rsid w:val="0093491B"/>
    <w:rsid w:val="00952DE0"/>
    <w:rsid w:val="009630C8"/>
    <w:rsid w:val="00981794"/>
    <w:rsid w:val="009866EE"/>
    <w:rsid w:val="009A048D"/>
    <w:rsid w:val="009A4180"/>
    <w:rsid w:val="009B73F4"/>
    <w:rsid w:val="009D1DD0"/>
    <w:rsid w:val="009D3535"/>
    <w:rsid w:val="009D5577"/>
    <w:rsid w:val="009F12BF"/>
    <w:rsid w:val="00A04966"/>
    <w:rsid w:val="00A06E1D"/>
    <w:rsid w:val="00A14436"/>
    <w:rsid w:val="00A24313"/>
    <w:rsid w:val="00A25BEA"/>
    <w:rsid w:val="00A33DF3"/>
    <w:rsid w:val="00A43931"/>
    <w:rsid w:val="00A52963"/>
    <w:rsid w:val="00AA3E41"/>
    <w:rsid w:val="00AB1FFD"/>
    <w:rsid w:val="00AB3B3E"/>
    <w:rsid w:val="00AB6C60"/>
    <w:rsid w:val="00AC30F7"/>
    <w:rsid w:val="00AC5C80"/>
    <w:rsid w:val="00AC6D82"/>
    <w:rsid w:val="00AD18BF"/>
    <w:rsid w:val="00AD3ECF"/>
    <w:rsid w:val="00AD3F33"/>
    <w:rsid w:val="00AE0F1B"/>
    <w:rsid w:val="00AE225C"/>
    <w:rsid w:val="00AE2E8E"/>
    <w:rsid w:val="00AF3C1C"/>
    <w:rsid w:val="00B10598"/>
    <w:rsid w:val="00B34423"/>
    <w:rsid w:val="00B36AEE"/>
    <w:rsid w:val="00B45C04"/>
    <w:rsid w:val="00B46445"/>
    <w:rsid w:val="00B62C8F"/>
    <w:rsid w:val="00B90D2E"/>
    <w:rsid w:val="00B95469"/>
    <w:rsid w:val="00B9626A"/>
    <w:rsid w:val="00B96C64"/>
    <w:rsid w:val="00BA603F"/>
    <w:rsid w:val="00BC0FFA"/>
    <w:rsid w:val="00BD6197"/>
    <w:rsid w:val="00BD6BA7"/>
    <w:rsid w:val="00BF7CAB"/>
    <w:rsid w:val="00C02362"/>
    <w:rsid w:val="00C3189E"/>
    <w:rsid w:val="00C32477"/>
    <w:rsid w:val="00C402CA"/>
    <w:rsid w:val="00C67606"/>
    <w:rsid w:val="00C702A2"/>
    <w:rsid w:val="00C816A8"/>
    <w:rsid w:val="00CA11E8"/>
    <w:rsid w:val="00CA40E1"/>
    <w:rsid w:val="00CB0CBC"/>
    <w:rsid w:val="00CB6DBE"/>
    <w:rsid w:val="00CE318D"/>
    <w:rsid w:val="00CF5C97"/>
    <w:rsid w:val="00D05168"/>
    <w:rsid w:val="00D20F9B"/>
    <w:rsid w:val="00D241E6"/>
    <w:rsid w:val="00D31E17"/>
    <w:rsid w:val="00D33165"/>
    <w:rsid w:val="00D33A57"/>
    <w:rsid w:val="00D33B74"/>
    <w:rsid w:val="00D51A28"/>
    <w:rsid w:val="00D606B3"/>
    <w:rsid w:val="00D72829"/>
    <w:rsid w:val="00D9276D"/>
    <w:rsid w:val="00DA001A"/>
    <w:rsid w:val="00DA0F2D"/>
    <w:rsid w:val="00DA71F6"/>
    <w:rsid w:val="00DE134C"/>
    <w:rsid w:val="00DE1839"/>
    <w:rsid w:val="00DE4CBA"/>
    <w:rsid w:val="00E00BFF"/>
    <w:rsid w:val="00E12772"/>
    <w:rsid w:val="00E170ED"/>
    <w:rsid w:val="00E17153"/>
    <w:rsid w:val="00E30A2A"/>
    <w:rsid w:val="00E540E3"/>
    <w:rsid w:val="00E55DC1"/>
    <w:rsid w:val="00E6466E"/>
    <w:rsid w:val="00E85D4F"/>
    <w:rsid w:val="00EB2D4D"/>
    <w:rsid w:val="00EC0A0C"/>
    <w:rsid w:val="00EC0D34"/>
    <w:rsid w:val="00EC426B"/>
    <w:rsid w:val="00EE487E"/>
    <w:rsid w:val="00EE4B01"/>
    <w:rsid w:val="00EF58D1"/>
    <w:rsid w:val="00F1057C"/>
    <w:rsid w:val="00F179BE"/>
    <w:rsid w:val="00F323A8"/>
    <w:rsid w:val="00F422B2"/>
    <w:rsid w:val="00F640EB"/>
    <w:rsid w:val="00F64642"/>
    <w:rsid w:val="00F64ECA"/>
    <w:rsid w:val="00F65DCB"/>
    <w:rsid w:val="00F66738"/>
    <w:rsid w:val="00F72E84"/>
    <w:rsid w:val="00F77BFD"/>
    <w:rsid w:val="00F829ED"/>
    <w:rsid w:val="00FA62BB"/>
    <w:rsid w:val="00FB330F"/>
    <w:rsid w:val="00FB496A"/>
    <w:rsid w:val="00FC21BA"/>
    <w:rsid w:val="00FC35FE"/>
    <w:rsid w:val="00FC43D8"/>
    <w:rsid w:val="00FC5694"/>
    <w:rsid w:val="00FD2C72"/>
    <w:rsid w:val="00FE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C426B"/>
    <w:pPr>
      <w:keepNext/>
      <w:ind w:left="5664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EC426B"/>
    <w:pPr>
      <w:keepNext/>
      <w:ind w:left="6372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EC426B"/>
    <w:pPr>
      <w:keepNext/>
      <w:ind w:left="6372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0938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customStyle="1" w:styleId="Styltabeli2">
    <w:name w:val="Styl tabeli2"/>
    <w:basedOn w:val="Standardowy"/>
    <w:rsid w:val="000F57F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ekstprzypisukocowego">
    <w:name w:val="endnote text"/>
    <w:basedOn w:val="Normalny"/>
    <w:semiHidden/>
    <w:rsid w:val="00EC426B"/>
    <w:rPr>
      <w:sz w:val="20"/>
      <w:szCs w:val="20"/>
    </w:rPr>
  </w:style>
  <w:style w:type="character" w:styleId="Odwoanieprzypisukocowego">
    <w:name w:val="endnote reference"/>
    <w:semiHidden/>
    <w:rsid w:val="00EC426B"/>
    <w:rPr>
      <w:vertAlign w:val="superscript"/>
    </w:rPr>
  </w:style>
  <w:style w:type="table" w:styleId="Tabela-Siatka8">
    <w:name w:val="Table Grid 8"/>
    <w:basedOn w:val="Standardowy"/>
    <w:rsid w:val="00384ED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rsid w:val="00AC5C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C5C8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1D5C4C"/>
    <w:pPr>
      <w:spacing w:before="100" w:beforeAutospacing="1" w:after="100" w:afterAutospacing="1"/>
    </w:pPr>
    <w:rPr>
      <w:rFonts w:ascii="Arial" w:hAnsi="Arial" w:cs="Arial"/>
      <w:color w:val="606060"/>
      <w:sz w:val="17"/>
      <w:szCs w:val="17"/>
    </w:rPr>
  </w:style>
  <w:style w:type="character" w:styleId="Uwydatnienie">
    <w:name w:val="Emphasis"/>
    <w:qFormat/>
    <w:rsid w:val="001D5C4C"/>
    <w:rPr>
      <w:i/>
      <w:iCs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83F9D"/>
    <w:pPr>
      <w:spacing w:line="360" w:lineRule="auto"/>
      <w:jc w:val="both"/>
    </w:pPr>
    <w:rPr>
      <w:szCs w:val="20"/>
      <w:lang/>
    </w:rPr>
  </w:style>
  <w:style w:type="paragraph" w:styleId="Tekstpodstawowywcity">
    <w:name w:val="Body Text Indent"/>
    <w:basedOn w:val="Normalny"/>
    <w:rsid w:val="000938DA"/>
    <w:pPr>
      <w:spacing w:after="120"/>
      <w:ind w:left="283"/>
    </w:pPr>
  </w:style>
  <w:style w:type="paragraph" w:customStyle="1" w:styleId="ZnakZnakZnakZnakZnakZnakZnak">
    <w:name w:val="Znak Znak Znak Znak Znak Znak Znak"/>
    <w:basedOn w:val="Normalny"/>
    <w:rsid w:val="00D33165"/>
  </w:style>
  <w:style w:type="table" w:styleId="Tabela-Siatka">
    <w:name w:val="Table Grid"/>
    <w:basedOn w:val="Standardowy"/>
    <w:rsid w:val="00D33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B1FFD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AB1FFD"/>
    <w:rPr>
      <w:rFonts w:ascii="Tahoma" w:hAnsi="Tahoma" w:cs="Tahoma"/>
      <w:sz w:val="16"/>
      <w:szCs w:val="16"/>
    </w:rPr>
  </w:style>
  <w:style w:type="character" w:styleId="Hipercze">
    <w:name w:val="Hyperlink"/>
    <w:rsid w:val="00FC21B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1057C"/>
    <w:pPr>
      <w:ind w:left="720"/>
    </w:pPr>
    <w:rPr>
      <w:rFonts w:ascii="Calibri" w:eastAsia="Calibri" w:hAnsi="Calibri"/>
      <w:sz w:val="22"/>
      <w:szCs w:val="22"/>
      <w:lang/>
    </w:rPr>
  </w:style>
  <w:style w:type="paragraph" w:styleId="Bezodstpw">
    <w:name w:val="No Spacing"/>
    <w:uiPriority w:val="1"/>
    <w:qFormat/>
    <w:rsid w:val="002E4DDB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2E4DDB"/>
    <w:pPr>
      <w:spacing w:after="120"/>
    </w:pPr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rsid w:val="002E4DDB"/>
    <w:rPr>
      <w:sz w:val="16"/>
      <w:szCs w:val="16"/>
      <w:lang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rsid w:val="00C702A2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702A2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702A2"/>
    <w:rPr>
      <w:vertAlign w:val="superscript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rsid w:val="00A14436"/>
    <w:rPr>
      <w:sz w:val="24"/>
    </w:rPr>
  </w:style>
  <w:style w:type="paragraph" w:customStyle="1" w:styleId="Default">
    <w:name w:val="Default"/>
    <w:rsid w:val="00FE682F"/>
    <w:pPr>
      <w:autoSpaceDE w:val="0"/>
      <w:autoSpaceDN w:val="0"/>
      <w:adjustRightInd w:val="0"/>
      <w:ind w:firstLine="36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0C59F8"/>
  </w:style>
  <w:style w:type="character" w:customStyle="1" w:styleId="AkapitzlistZnak">
    <w:name w:val="Akapit z listą Znak"/>
    <w:link w:val="Akapitzlist"/>
    <w:uiPriority w:val="34"/>
    <w:locked/>
    <w:rsid w:val="000C59F8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basedOn w:val="Domylnaczcionkaakapitu"/>
    <w:rsid w:val="00E30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30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30A2A"/>
  </w:style>
  <w:style w:type="paragraph" w:styleId="Tematkomentarza">
    <w:name w:val="annotation subject"/>
    <w:basedOn w:val="Tekstkomentarza"/>
    <w:next w:val="Tekstkomentarza"/>
    <w:link w:val="TematkomentarzaZnak"/>
    <w:rsid w:val="00E30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30A2A"/>
    <w:rPr>
      <w:b/>
      <w:bCs/>
    </w:rPr>
  </w:style>
  <w:style w:type="paragraph" w:styleId="Poprawka">
    <w:name w:val="Revision"/>
    <w:hidden/>
    <w:uiPriority w:val="99"/>
    <w:semiHidden/>
    <w:rsid w:val="00E30A2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1566B-43CC-44EC-A946-456A814A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2130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Olsztyn 27</vt:lpstr>
    </vt:vector>
  </TitlesOfParts>
  <Company/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Olsztyn 27</dc:title>
  <dc:subject/>
  <dc:creator>WMARR</dc:creator>
  <cp:keywords/>
  <dc:description/>
  <cp:lastModifiedBy>Michał Jędrasik</cp:lastModifiedBy>
  <cp:revision>3</cp:revision>
  <cp:lastPrinted>2010-11-04T08:49:00Z</cp:lastPrinted>
  <dcterms:created xsi:type="dcterms:W3CDTF">2016-06-28T12:42:00Z</dcterms:created>
  <dcterms:modified xsi:type="dcterms:W3CDTF">2016-06-28T12:42:00Z</dcterms:modified>
</cp:coreProperties>
</file>